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BA" w:rsidRPr="00B03087" w:rsidRDefault="00E62BBA" w:rsidP="00E62BBA">
      <w:pPr>
        <w:rPr>
          <w:b/>
        </w:rPr>
      </w:pPr>
      <w:r w:rsidRPr="00B03087">
        <w:rPr>
          <w:b/>
        </w:rPr>
        <w:t>Разбер</w:t>
      </w:r>
      <w:r>
        <w:rPr>
          <w:b/>
        </w:rPr>
        <w:t>ё</w:t>
      </w:r>
      <w:r w:rsidRPr="00B03087">
        <w:rPr>
          <w:b/>
        </w:rPr>
        <w:t>м на примерах расч</w:t>
      </w:r>
      <w:r>
        <w:rPr>
          <w:b/>
        </w:rPr>
        <w:t>ё</w:t>
      </w:r>
      <w:r w:rsidRPr="00B03087">
        <w:rPr>
          <w:b/>
        </w:rPr>
        <w:t>т размера оплаты за электроэнергию:</w:t>
      </w:r>
    </w:p>
    <w:p w:rsidR="00E62BBA" w:rsidRPr="00B03087" w:rsidRDefault="00E62BBA" w:rsidP="00E62BBA">
      <w:pPr>
        <w:numPr>
          <w:ilvl w:val="0"/>
          <w:numId w:val="1"/>
        </w:numPr>
        <w:rPr>
          <w:u w:val="single"/>
        </w:rPr>
      </w:pPr>
      <w:r w:rsidRPr="00B03087">
        <w:rPr>
          <w:u w:val="single"/>
        </w:rPr>
        <w:t>для индивидуальных жилых домов в НЕ отопительный период при наличии электроотопительной установки:</w:t>
      </w:r>
    </w:p>
    <w:p w:rsidR="00E62BBA" w:rsidRPr="00B03087" w:rsidRDefault="00E62BBA" w:rsidP="00E62BBA">
      <w:r w:rsidRPr="00B03087">
        <w:t>1. Первый диапазон - от 0 до 3900 кВт/ч</w:t>
      </w:r>
    </w:p>
    <w:p w:rsidR="00E62BBA" w:rsidRPr="00B03087" w:rsidRDefault="00E62BBA" w:rsidP="00E62BBA">
      <w:r w:rsidRPr="00B03087">
        <w:t>2. Второй диапазон - от 3900 до 6000 кВт/ч</w:t>
      </w:r>
    </w:p>
    <w:p w:rsidR="00E62BBA" w:rsidRPr="00B03087" w:rsidRDefault="00E62BBA" w:rsidP="00E62BBA">
      <w:r w:rsidRPr="00B03087">
        <w:t>3. В третий диапазон, от 6000 кВт/ч</w:t>
      </w:r>
    </w:p>
    <w:p w:rsidR="00E62BBA" w:rsidRPr="00B03087" w:rsidRDefault="00E62BBA" w:rsidP="00E62BBA">
      <w:pPr>
        <w:numPr>
          <w:ilvl w:val="0"/>
          <w:numId w:val="2"/>
        </w:numPr>
      </w:pPr>
      <w:r w:rsidRPr="00B03087">
        <w:t>Пример: Семья за июль израсходовала 6200 кВт/ч., проживая в индивидуальном жилом доме, оборудованном электроотопительной установкой: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E62BBA" w:rsidTr="00422227">
        <w:trPr>
          <w:trHeight w:val="765"/>
        </w:trPr>
        <w:tc>
          <w:tcPr>
            <w:tcW w:w="1554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Зона суток</w:t>
            </w:r>
          </w:p>
        </w:tc>
        <w:tc>
          <w:tcPr>
            <w:tcW w:w="1687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Объем, цена, стоимость</w:t>
            </w:r>
          </w:p>
        </w:tc>
        <w:tc>
          <w:tcPr>
            <w:tcW w:w="1430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первого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второго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третьего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ИТОГО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 w:val="restart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Основная</w:t>
            </w: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Объем, кВт*ч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3 900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2 100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200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6 200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Цена, руб.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3,58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5,37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8,35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Стоимость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13 962,00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11 277,00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1 670,00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/>
              </w:rPr>
            </w:pPr>
            <w:r w:rsidRPr="00B03087">
              <w:rPr>
                <w:b/>
              </w:rPr>
              <w:t>26 909,00 ₽</w:t>
            </w:r>
          </w:p>
        </w:tc>
      </w:tr>
    </w:tbl>
    <w:p w:rsidR="00E62BBA" w:rsidRPr="00B03087" w:rsidRDefault="00E62BBA" w:rsidP="00E62BBA"/>
    <w:p w:rsidR="00E62BBA" w:rsidRPr="00B03087" w:rsidRDefault="00E62BBA" w:rsidP="00E62BBA">
      <w:pPr>
        <w:numPr>
          <w:ilvl w:val="0"/>
          <w:numId w:val="1"/>
        </w:numPr>
        <w:rPr>
          <w:u w:val="single"/>
        </w:rPr>
      </w:pPr>
      <w:r w:rsidRPr="00B03087">
        <w:rPr>
          <w:u w:val="single"/>
        </w:rPr>
        <w:t>для индивидуальных жилых домов в отопительный период при наличии электроотопительной установки и отсутствия газификации:</w:t>
      </w:r>
    </w:p>
    <w:p w:rsidR="00E62BBA" w:rsidRPr="00B03087" w:rsidRDefault="00E62BBA" w:rsidP="00E62BBA">
      <w:r w:rsidRPr="00B03087">
        <w:t>1. Первый диапазон - от 0 до 7020 кВт/ч</w:t>
      </w:r>
    </w:p>
    <w:p w:rsidR="00E62BBA" w:rsidRPr="00B03087" w:rsidRDefault="00E62BBA" w:rsidP="00E62BBA">
      <w:r w:rsidRPr="00B03087">
        <w:t>2. Второй диапазон - от 7020 до 10800 кВт/ч</w:t>
      </w:r>
    </w:p>
    <w:p w:rsidR="00E62BBA" w:rsidRPr="00B03087" w:rsidRDefault="00E62BBA" w:rsidP="00E62BBA">
      <w:r w:rsidRPr="00B03087">
        <w:t>3. В третий диапазон, от 10800 кВт/ч</w:t>
      </w:r>
    </w:p>
    <w:p w:rsidR="00E62BBA" w:rsidRPr="00B03087" w:rsidRDefault="00E62BBA" w:rsidP="00E62BBA">
      <w:pPr>
        <w:numPr>
          <w:ilvl w:val="0"/>
          <w:numId w:val="2"/>
        </w:numPr>
      </w:pPr>
      <w:r w:rsidRPr="00B03087">
        <w:t>Пример: Семья за ноябрь израсходовала 12300 кВт/ч., проживая в индивидуальном жилом доме, оборудованном электроотопительной установкой и отсутствии газификации: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E62BBA" w:rsidTr="00422227">
        <w:trPr>
          <w:trHeight w:val="765"/>
        </w:trPr>
        <w:tc>
          <w:tcPr>
            <w:tcW w:w="1554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Зона суток</w:t>
            </w:r>
          </w:p>
        </w:tc>
        <w:tc>
          <w:tcPr>
            <w:tcW w:w="1687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Объем, цена, стоимость</w:t>
            </w:r>
          </w:p>
        </w:tc>
        <w:tc>
          <w:tcPr>
            <w:tcW w:w="1430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первого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второго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третьего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ИТОГО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 w:val="restart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Основная</w:t>
            </w: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Объем, кВт*ч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7 020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3 780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1 500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12 300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Цена, руб.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3,58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5,37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8,35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Стоимость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25 131,60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20 298,60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12 525,00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/>
              </w:rPr>
            </w:pPr>
            <w:r w:rsidRPr="00B03087">
              <w:rPr>
                <w:b/>
              </w:rPr>
              <w:t>57 955,20 ₽</w:t>
            </w:r>
          </w:p>
        </w:tc>
      </w:tr>
    </w:tbl>
    <w:p w:rsidR="00E62BBA" w:rsidRPr="00B03087" w:rsidRDefault="00E62BBA" w:rsidP="00E62BBA"/>
    <w:p w:rsidR="00E62BBA" w:rsidRPr="00B03087" w:rsidRDefault="00E62BBA" w:rsidP="00E62BBA">
      <w:pPr>
        <w:numPr>
          <w:ilvl w:val="0"/>
          <w:numId w:val="1"/>
        </w:numPr>
        <w:rPr>
          <w:u w:val="single"/>
        </w:rPr>
      </w:pPr>
      <w:r w:rsidRPr="00B03087">
        <w:rPr>
          <w:u w:val="single"/>
        </w:rPr>
        <w:t>для многоквартирных домов в отопительный период:</w:t>
      </w:r>
    </w:p>
    <w:p w:rsidR="00E62BBA" w:rsidRPr="00B03087" w:rsidRDefault="00E62BBA" w:rsidP="00E62BBA">
      <w:r w:rsidRPr="00B03087">
        <w:t xml:space="preserve">1. Первый диапазон - от 0 до 3900 кВт/ч </w:t>
      </w:r>
    </w:p>
    <w:p w:rsidR="00E62BBA" w:rsidRPr="00B03087" w:rsidRDefault="00E62BBA" w:rsidP="00E62BBA">
      <w:r w:rsidRPr="00B03087">
        <w:t>2. Второй диапазон - от 3901 до 6000 кВт/ч</w:t>
      </w:r>
    </w:p>
    <w:p w:rsidR="00E62BBA" w:rsidRPr="00B03087" w:rsidRDefault="00E62BBA" w:rsidP="00E62BBA">
      <w:r w:rsidRPr="00B03087">
        <w:t>3. В третий диапазон, от 6001 кВт/ч</w:t>
      </w:r>
    </w:p>
    <w:p w:rsidR="00E62BBA" w:rsidRPr="00B03087" w:rsidRDefault="00E62BBA" w:rsidP="00E62BBA">
      <w:pPr>
        <w:numPr>
          <w:ilvl w:val="0"/>
          <w:numId w:val="2"/>
        </w:numPr>
      </w:pPr>
      <w:r w:rsidRPr="00B03087">
        <w:t xml:space="preserve">Пример: Семья в октябре израсходовала 4000 кВт/ч., проживая в квартире многоквартирного </w:t>
      </w:r>
      <w:bookmarkStart w:id="0" w:name="_GoBack"/>
      <w:bookmarkEnd w:id="0"/>
      <w:r w:rsidRPr="00B03087">
        <w:t>дома с электроотопительной установкой: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E62BBA" w:rsidTr="00422227">
        <w:trPr>
          <w:trHeight w:val="625"/>
        </w:trPr>
        <w:tc>
          <w:tcPr>
            <w:tcW w:w="1554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lastRenderedPageBreak/>
              <w:t>Зона суток</w:t>
            </w:r>
          </w:p>
        </w:tc>
        <w:tc>
          <w:tcPr>
            <w:tcW w:w="1687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Объем, цена, стоимость</w:t>
            </w:r>
          </w:p>
        </w:tc>
        <w:tc>
          <w:tcPr>
            <w:tcW w:w="1430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первого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второго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Для третьего диапазона</w:t>
            </w:r>
          </w:p>
        </w:tc>
        <w:tc>
          <w:tcPr>
            <w:tcW w:w="1558" w:type="dxa"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Cs/>
              </w:rPr>
            </w:pPr>
            <w:r w:rsidRPr="00B03087">
              <w:rPr>
                <w:bCs/>
              </w:rPr>
              <w:t>ИТОГО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 w:val="restart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Основная</w:t>
            </w: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Объем, кВт*ч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3 900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100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0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4 000</w:t>
            </w: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Цена, руб.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3,58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5,37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8,35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</w:tr>
      <w:tr w:rsidR="00E62BBA" w:rsidTr="00422227">
        <w:trPr>
          <w:trHeight w:val="300"/>
        </w:trPr>
        <w:tc>
          <w:tcPr>
            <w:tcW w:w="1554" w:type="dxa"/>
            <w:vMerge/>
            <w:hideMark/>
          </w:tcPr>
          <w:p w:rsidR="00E62BBA" w:rsidRPr="00B03087" w:rsidRDefault="00E62BBA" w:rsidP="00422227">
            <w:pPr>
              <w:spacing w:after="160" w:line="259" w:lineRule="auto"/>
            </w:pPr>
          </w:p>
        </w:tc>
        <w:tc>
          <w:tcPr>
            <w:tcW w:w="1687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Стоимость</w:t>
            </w:r>
          </w:p>
        </w:tc>
        <w:tc>
          <w:tcPr>
            <w:tcW w:w="1430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13 962,00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537,00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</w:pPr>
            <w:r w:rsidRPr="00B03087">
              <w:t>-   ₽</w:t>
            </w:r>
          </w:p>
        </w:tc>
        <w:tc>
          <w:tcPr>
            <w:tcW w:w="1558" w:type="dxa"/>
            <w:noWrap/>
            <w:hideMark/>
          </w:tcPr>
          <w:p w:rsidR="00E62BBA" w:rsidRPr="00B03087" w:rsidRDefault="00E62BBA" w:rsidP="00422227">
            <w:pPr>
              <w:spacing w:after="160" w:line="259" w:lineRule="auto"/>
              <w:rPr>
                <w:b/>
              </w:rPr>
            </w:pPr>
            <w:r w:rsidRPr="00B03087">
              <w:rPr>
                <w:b/>
              </w:rPr>
              <w:t>14 499,00 ₽</w:t>
            </w:r>
          </w:p>
        </w:tc>
      </w:tr>
    </w:tbl>
    <w:p w:rsidR="00E62BBA" w:rsidRPr="00B03087" w:rsidRDefault="00E62BBA" w:rsidP="00E62BBA"/>
    <w:p w:rsidR="00E62BBA" w:rsidRDefault="00E62BBA" w:rsidP="00E62BBA"/>
    <w:p w:rsidR="00C00FE7" w:rsidRDefault="00C00FE7"/>
    <w:sectPr w:rsidR="00C00FE7">
      <w:footerReference w:type="even" r:id="rId7"/>
      <w:footerReference w:type="first" r:id="rId8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7D" w:rsidRDefault="00887D7D" w:rsidP="00E62BBA">
      <w:pPr>
        <w:spacing w:after="0" w:line="240" w:lineRule="auto"/>
      </w:pPr>
      <w:r>
        <w:separator/>
      </w:r>
    </w:p>
  </w:endnote>
  <w:endnote w:type="continuationSeparator" w:id="0">
    <w:p w:rsidR="00887D7D" w:rsidRDefault="00887D7D" w:rsidP="00E6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59" w:rsidRDefault="00E62BB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267200" cy="177800"/>
              <wp:effectExtent l="0" t="0" r="0" b="3175"/>
              <wp:wrapNone/>
              <wp:docPr id="3" name="Надпись 3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267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BBA" w:rsidRDefault="00E62BBA" w:rsidP="00E62BBA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E62BB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ЭСЗ-В-КГН-2026-3800,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E62BB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:548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Watermark_2802" style="position:absolute;margin-left:0;margin-top:0;width:336pt;height:1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" filled="f" stroked="f">
              <o:lock v:ext="edit" shapetype="t"/>
              <v:textbox style="mso-fit-shape-to-text:t">
                <w:txbxContent>
                  <w:p w:rsidR="00E62BBA" w:rsidRDefault="00E62BBA" w:rsidP="00E62BBA">
                    <w:pPr>
                      <w:pStyle w:val="a4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E62BB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ЭСЗ-В-КГН-2026-3800,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E62BB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:548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59" w:rsidRDefault="00E62BBA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267200" cy="177800"/>
              <wp:effectExtent l="0" t="0" r="0" b="3175"/>
              <wp:wrapNone/>
              <wp:docPr id="1" name="Надпись 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267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BBA" w:rsidRDefault="00E62BBA" w:rsidP="00E62BBA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E62BB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ЭСЗ-В-КГН-2026-3800,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E62BBA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:548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Watermark_2802" style="position:absolute;margin-left:0;margin-top:0;width:336pt;height:1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" filled="f" stroked="f">
              <o:lock v:ext="edit" shapetype="t"/>
              <v:textbox style="mso-fit-shape-to-text:t">
                <w:txbxContent>
                  <w:p w:rsidR="00E62BBA" w:rsidRDefault="00E62BBA" w:rsidP="00E62BBA">
                    <w:pPr>
                      <w:pStyle w:val="a4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E62BB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ЭСЗ-В-КГН-2026-3800,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E62BBA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:548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7D" w:rsidRDefault="00887D7D" w:rsidP="00E62BBA">
      <w:pPr>
        <w:spacing w:after="0" w:line="240" w:lineRule="auto"/>
      </w:pPr>
      <w:r>
        <w:separator/>
      </w:r>
    </w:p>
  </w:footnote>
  <w:footnote w:type="continuationSeparator" w:id="0">
    <w:p w:rsidR="00887D7D" w:rsidRDefault="00887D7D" w:rsidP="00E6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66E"/>
    <w:multiLevelType w:val="hybridMultilevel"/>
    <w:tmpl w:val="9544E2EA"/>
    <w:lvl w:ilvl="0" w:tplc="932EE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D6F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0D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2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A5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E4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0D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E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0E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45DE"/>
    <w:multiLevelType w:val="hybridMultilevel"/>
    <w:tmpl w:val="0E2851AC"/>
    <w:lvl w:ilvl="0" w:tplc="F3A489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FD4208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7CA18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38A62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3825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2096C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34386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E72AB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E6F80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C1"/>
    <w:rsid w:val="00661EC1"/>
    <w:rsid w:val="00887D7D"/>
    <w:rsid w:val="00C00FE7"/>
    <w:rsid w:val="00E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C3D9A-D736-49AF-B30C-0DBE049B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62B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Константин Валерьянович</dc:creator>
  <cp:keywords/>
  <dc:description/>
  <cp:lastModifiedBy>Базаров Константин Валерьянович</cp:lastModifiedBy>
  <cp:revision>2</cp:revision>
  <dcterms:created xsi:type="dcterms:W3CDTF">2026-02-02T06:23:00Z</dcterms:created>
  <dcterms:modified xsi:type="dcterms:W3CDTF">2026-02-02T06:24:00Z</dcterms:modified>
</cp:coreProperties>
</file>